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61775" w:rsidRDefault="00CE75F6" w:rsidP="00CE75F6">
      <w:pPr>
        <w:pStyle w:val="1"/>
        <w:jc w:val="center"/>
        <w:rPr>
          <w:rFonts w:ascii="黑体" w:eastAsia="黑体" w:hAnsi="黑体" w:hint="eastAsia"/>
        </w:rPr>
      </w:pPr>
      <w:r w:rsidRPr="00761775">
        <w:rPr>
          <w:rFonts w:ascii="黑体" w:eastAsia="黑体" w:hAnsi="黑体" w:hint="eastAsia"/>
        </w:rPr>
        <w:t>黑石业务说明</w:t>
      </w:r>
    </w:p>
    <w:p w:rsidR="00B62EC9" w:rsidRPr="00761775" w:rsidRDefault="00FA4CEE" w:rsidP="00CE75F6">
      <w:pPr>
        <w:rPr>
          <w:rFonts w:ascii="黑体" w:eastAsia="黑体" w:hAnsi="黑体" w:hint="eastAsia"/>
          <w:sz w:val="24"/>
          <w:szCs w:val="24"/>
        </w:rPr>
      </w:pPr>
      <w:r w:rsidRPr="00761775">
        <w:rPr>
          <w:rFonts w:ascii="黑体" w:eastAsia="黑体" w:hAnsi="黑体" w:hint="eastAsia"/>
          <w:sz w:val="24"/>
          <w:szCs w:val="24"/>
        </w:rPr>
        <w:t>买方</w:t>
      </w:r>
      <w:r w:rsidR="00B62EC9" w:rsidRPr="00761775">
        <w:rPr>
          <w:rFonts w:ascii="黑体" w:eastAsia="黑体" w:hAnsi="黑体" w:hint="eastAsia"/>
          <w:sz w:val="24"/>
          <w:szCs w:val="24"/>
        </w:rPr>
        <w:t>（分销代理商）</w:t>
      </w:r>
    </w:p>
    <w:p w:rsidR="00CE75F6" w:rsidRPr="00761775" w:rsidRDefault="00B62EC9" w:rsidP="00CE75F6">
      <w:pPr>
        <w:rPr>
          <w:rFonts w:ascii="黑体" w:eastAsia="黑体" w:hAnsi="黑体" w:hint="eastAsia"/>
          <w:sz w:val="24"/>
          <w:szCs w:val="24"/>
        </w:rPr>
      </w:pPr>
      <w:r w:rsidRPr="00761775">
        <w:rPr>
          <w:rFonts w:ascii="黑体" w:eastAsia="黑体" w:hAnsi="黑体" w:hint="eastAsia"/>
          <w:sz w:val="24"/>
          <w:szCs w:val="24"/>
        </w:rPr>
        <w:t>以下简称：</w:t>
      </w:r>
      <w:r w:rsidRPr="00761775">
        <w:rPr>
          <w:rFonts w:ascii="黑体" w:eastAsia="黑体" w:hAnsi="黑体" w:hint="eastAsia"/>
          <w:b/>
          <w:sz w:val="24"/>
          <w:szCs w:val="24"/>
        </w:rPr>
        <w:t>代理商</w:t>
      </w:r>
      <w:r w:rsidR="00CE75F6" w:rsidRPr="00761775">
        <w:rPr>
          <w:rFonts w:ascii="黑体" w:eastAsia="黑体" w:hAnsi="黑体" w:hint="eastAsia"/>
          <w:sz w:val="24"/>
          <w:szCs w:val="24"/>
        </w:rPr>
        <w:t xml:space="preserve"> </w:t>
      </w:r>
    </w:p>
    <w:p w:rsidR="00B62EC9" w:rsidRPr="00761775" w:rsidRDefault="00B62EC9" w:rsidP="00CE75F6">
      <w:pPr>
        <w:rPr>
          <w:rFonts w:ascii="黑体" w:eastAsia="黑体" w:hAnsi="黑体" w:hint="eastAsia"/>
          <w:sz w:val="24"/>
          <w:szCs w:val="24"/>
        </w:rPr>
      </w:pPr>
    </w:p>
    <w:p w:rsidR="00B62EC9" w:rsidRPr="00761775" w:rsidRDefault="00B62EC9" w:rsidP="00CE75F6">
      <w:pPr>
        <w:rPr>
          <w:rFonts w:ascii="黑体" w:eastAsia="黑体" w:hAnsi="黑体" w:hint="eastAsia"/>
          <w:sz w:val="24"/>
          <w:szCs w:val="24"/>
        </w:rPr>
      </w:pPr>
      <w:r w:rsidRPr="00761775">
        <w:rPr>
          <w:rFonts w:ascii="黑体" w:eastAsia="黑体" w:hAnsi="黑体" w:hint="eastAsia"/>
          <w:sz w:val="24"/>
          <w:szCs w:val="24"/>
        </w:rPr>
        <w:t>卖方（货品供应商）</w:t>
      </w:r>
    </w:p>
    <w:p w:rsidR="00B62EC9" w:rsidRPr="00761775" w:rsidRDefault="00B62EC9" w:rsidP="00CE75F6">
      <w:pPr>
        <w:rPr>
          <w:rFonts w:ascii="黑体" w:eastAsia="黑体" w:hAnsi="黑体" w:hint="eastAsia"/>
          <w:sz w:val="24"/>
          <w:szCs w:val="24"/>
        </w:rPr>
      </w:pPr>
      <w:r w:rsidRPr="00761775">
        <w:rPr>
          <w:rFonts w:ascii="黑体" w:eastAsia="黑体" w:hAnsi="黑体" w:hint="eastAsia"/>
          <w:sz w:val="24"/>
          <w:szCs w:val="24"/>
        </w:rPr>
        <w:t>以下简称：</w:t>
      </w:r>
      <w:r w:rsidRPr="00761775">
        <w:rPr>
          <w:rFonts w:ascii="黑体" w:eastAsia="黑体" w:hAnsi="黑体" w:hint="eastAsia"/>
          <w:b/>
          <w:sz w:val="24"/>
          <w:szCs w:val="24"/>
        </w:rPr>
        <w:t>供应商</w:t>
      </w:r>
    </w:p>
    <w:p w:rsidR="004F0C36" w:rsidRPr="00761775" w:rsidRDefault="004F0C36" w:rsidP="00CE75F6">
      <w:pPr>
        <w:rPr>
          <w:rFonts w:ascii="黑体" w:eastAsia="黑体" w:hAnsi="黑体" w:hint="eastAsia"/>
          <w:sz w:val="24"/>
          <w:szCs w:val="24"/>
        </w:rPr>
      </w:pPr>
    </w:p>
    <w:p w:rsidR="004F0C36" w:rsidRDefault="004F0C36" w:rsidP="00CE75F6">
      <w:pPr>
        <w:rPr>
          <w:rFonts w:ascii="黑体" w:eastAsia="黑体" w:hAnsi="黑体" w:hint="eastAsia"/>
          <w:sz w:val="24"/>
          <w:szCs w:val="24"/>
        </w:rPr>
      </w:pPr>
      <w:r w:rsidRPr="00761775">
        <w:rPr>
          <w:rFonts w:ascii="黑体" w:eastAsia="黑体" w:hAnsi="黑体" w:hint="eastAsia"/>
          <w:sz w:val="24"/>
          <w:szCs w:val="24"/>
        </w:rPr>
        <w:t>押金</w:t>
      </w:r>
      <w:r w:rsidR="00FD0154" w:rsidRPr="00761775">
        <w:rPr>
          <w:rFonts w:ascii="黑体" w:eastAsia="黑体" w:hAnsi="黑体" w:hint="eastAsia"/>
          <w:sz w:val="24"/>
          <w:szCs w:val="24"/>
        </w:rPr>
        <w:t>：</w:t>
      </w:r>
      <w:r w:rsidR="00570096" w:rsidRPr="00761775">
        <w:rPr>
          <w:rFonts w:ascii="黑体" w:eastAsia="黑体" w:hAnsi="黑体" w:hint="eastAsia"/>
          <w:sz w:val="24"/>
          <w:szCs w:val="24"/>
        </w:rPr>
        <w:t>暂定不设</w:t>
      </w:r>
      <w:r w:rsidRPr="00761775">
        <w:rPr>
          <w:rFonts w:ascii="黑体" w:eastAsia="黑体" w:hAnsi="黑体" w:hint="eastAsia"/>
          <w:sz w:val="24"/>
          <w:szCs w:val="24"/>
        </w:rPr>
        <w:t>押金</w:t>
      </w:r>
    </w:p>
    <w:p w:rsidR="009D04A3" w:rsidRDefault="009D04A3" w:rsidP="00CE75F6">
      <w:pPr>
        <w:rPr>
          <w:rFonts w:ascii="黑体" w:eastAsia="黑体" w:hAnsi="黑体" w:hint="eastAsia"/>
          <w:sz w:val="24"/>
          <w:szCs w:val="24"/>
        </w:rPr>
      </w:pPr>
    </w:p>
    <w:p w:rsidR="009D04A3" w:rsidRDefault="009D04A3" w:rsidP="00CE75F6">
      <w:pPr>
        <w:rPr>
          <w:rFonts w:ascii="黑体" w:eastAsia="黑体" w:hAnsi="黑体" w:hint="eastAsia"/>
          <w:b/>
          <w:sz w:val="24"/>
          <w:szCs w:val="24"/>
          <w:u w:val="single"/>
        </w:rPr>
      </w:pPr>
      <w:r w:rsidRPr="009D04A3">
        <w:rPr>
          <w:rFonts w:ascii="黑体" w:eastAsia="黑体" w:hAnsi="黑体" w:hint="eastAsia"/>
          <w:b/>
          <w:sz w:val="24"/>
          <w:szCs w:val="24"/>
          <w:u w:val="single"/>
        </w:rPr>
        <w:t>充值种类：</w:t>
      </w:r>
    </w:p>
    <w:p w:rsidR="009D04A3" w:rsidRDefault="009D04A3" w:rsidP="009D04A3">
      <w:pPr>
        <w:ind w:firstLine="465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银行充值</w:t>
      </w:r>
    </w:p>
    <w:p w:rsidR="009D04A3" w:rsidRPr="009D04A3" w:rsidRDefault="009D04A3" w:rsidP="009D04A3">
      <w:pPr>
        <w:pStyle w:val="a6"/>
        <w:numPr>
          <w:ilvl w:val="0"/>
          <w:numId w:val="2"/>
        </w:numPr>
        <w:ind w:firstLineChars="0"/>
        <w:rPr>
          <w:rFonts w:ascii="黑体" w:eastAsia="黑体" w:hAnsi="黑体" w:hint="eastAsia"/>
          <w:sz w:val="24"/>
          <w:szCs w:val="24"/>
        </w:rPr>
      </w:pPr>
      <w:r w:rsidRPr="009D04A3">
        <w:rPr>
          <w:rFonts w:ascii="黑体" w:eastAsia="黑体" w:hAnsi="黑体" w:hint="eastAsia"/>
          <w:sz w:val="24"/>
          <w:szCs w:val="24"/>
        </w:rPr>
        <w:t>代理商使用其他人、其他公司户口往银行均视为代理商资金</w:t>
      </w:r>
    </w:p>
    <w:p w:rsidR="009D04A3" w:rsidRDefault="009D04A3" w:rsidP="009D04A3">
      <w:pPr>
        <w:pStyle w:val="a6"/>
        <w:numPr>
          <w:ilvl w:val="0"/>
          <w:numId w:val="2"/>
        </w:numPr>
        <w:ind w:firstLineChars="0"/>
        <w:rPr>
          <w:rFonts w:ascii="黑体" w:eastAsia="黑体" w:hAnsi="黑体" w:hint="eastAsia"/>
          <w:sz w:val="24"/>
          <w:szCs w:val="24"/>
        </w:rPr>
      </w:pPr>
      <w:r w:rsidRPr="009D04A3">
        <w:rPr>
          <w:rFonts w:ascii="黑体" w:eastAsia="黑体" w:hAnsi="黑体" w:hint="eastAsia"/>
          <w:sz w:val="24"/>
          <w:szCs w:val="24"/>
        </w:rPr>
        <w:t>首次充值金额不少于5000元</w:t>
      </w:r>
    </w:p>
    <w:p w:rsidR="009D04A3" w:rsidRPr="009D04A3" w:rsidRDefault="009D04A3" w:rsidP="009D04A3">
      <w:pPr>
        <w:pStyle w:val="a6"/>
        <w:ind w:left="825" w:firstLineChars="0" w:firstLine="0"/>
        <w:rPr>
          <w:rFonts w:ascii="黑体" w:eastAsia="黑体" w:hAnsi="黑体" w:hint="eastAsia"/>
          <w:sz w:val="24"/>
          <w:szCs w:val="24"/>
        </w:rPr>
      </w:pPr>
    </w:p>
    <w:p w:rsidR="009D04A3" w:rsidRDefault="009D04A3" w:rsidP="009D04A3">
      <w:pPr>
        <w:ind w:firstLine="465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支付宝充值</w:t>
      </w:r>
      <w:r w:rsidRPr="009D04A3"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（</w:t>
      </w:r>
      <w:r w:rsidRPr="009D04A3">
        <w:rPr>
          <w:rFonts w:ascii="黑体" w:eastAsia="黑体" w:hAnsi="黑体" w:hint="eastAsia"/>
          <w:sz w:val="24"/>
          <w:szCs w:val="24"/>
        </w:rPr>
        <w:t>扣减支付宝充值手续费0.6%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9D04A3" w:rsidRPr="009D04A3" w:rsidRDefault="009D04A3" w:rsidP="009D04A3">
      <w:pPr>
        <w:ind w:firstLine="465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例：</w:t>
      </w:r>
      <w:r w:rsidRPr="009D04A3">
        <w:rPr>
          <w:rFonts w:ascii="黑体" w:eastAsia="黑体" w:hAnsi="黑体" w:hint="eastAsia"/>
          <w:sz w:val="24"/>
          <w:szCs w:val="24"/>
        </w:rPr>
        <w:t>假设代理商使用支付宝充值1000元，则黑石平台自动在其账户添加1000元后扣减6元</w:t>
      </w:r>
    </w:p>
    <w:p w:rsidR="00416409" w:rsidRPr="00761775" w:rsidRDefault="00416409" w:rsidP="00CE75F6">
      <w:pPr>
        <w:rPr>
          <w:rFonts w:ascii="黑体" w:eastAsia="黑体" w:hAnsi="黑体" w:hint="eastAsia"/>
          <w:sz w:val="24"/>
          <w:szCs w:val="24"/>
        </w:rPr>
      </w:pPr>
    </w:p>
    <w:p w:rsidR="00761775" w:rsidRDefault="00761775" w:rsidP="00CE75F6">
      <w:pPr>
        <w:rPr>
          <w:rFonts w:ascii="黑体" w:eastAsia="黑体" w:hAnsi="黑体" w:hint="eastAsia"/>
          <w:b/>
          <w:sz w:val="24"/>
          <w:szCs w:val="24"/>
          <w:u w:val="single"/>
        </w:rPr>
      </w:pPr>
      <w:r w:rsidRPr="00761775">
        <w:rPr>
          <w:rFonts w:ascii="黑体" w:eastAsia="黑体" w:hAnsi="黑体" w:hint="eastAsia"/>
          <w:b/>
          <w:sz w:val="24"/>
          <w:szCs w:val="24"/>
          <w:u w:val="single"/>
        </w:rPr>
        <w:t>充值流程</w:t>
      </w:r>
      <w:r w:rsidR="00416409">
        <w:rPr>
          <w:rFonts w:ascii="黑体" w:eastAsia="黑体" w:hAnsi="黑体" w:hint="eastAsia"/>
          <w:b/>
          <w:sz w:val="24"/>
          <w:szCs w:val="24"/>
          <w:u w:val="single"/>
        </w:rPr>
        <w:t>：</w:t>
      </w:r>
    </w:p>
    <w:p w:rsidR="00416409" w:rsidRPr="00416409" w:rsidRDefault="00416409" w:rsidP="00CE75F6">
      <w:pPr>
        <w:rPr>
          <w:rFonts w:ascii="黑体" w:eastAsia="黑体" w:hAnsi="黑体" w:hint="eastAsia"/>
          <w:sz w:val="24"/>
          <w:szCs w:val="24"/>
        </w:rPr>
      </w:pPr>
      <w:r w:rsidRPr="00416409">
        <w:rPr>
          <w:rFonts w:ascii="黑体" w:eastAsia="黑体" w:hAnsi="黑体" w:hint="eastAsia"/>
          <w:sz w:val="24"/>
          <w:szCs w:val="24"/>
        </w:rPr>
        <w:t xml:space="preserve">     </w:t>
      </w:r>
      <w:r>
        <w:rPr>
          <w:rFonts w:ascii="黑体" w:eastAsia="黑体" w:hAnsi="黑体" w:hint="eastAsia"/>
          <w:sz w:val="24"/>
          <w:szCs w:val="24"/>
        </w:rPr>
        <w:t>代理商向黑石银行账户汇款后，到黑石平台提交充值申请，待黑石财务核查到账后，会把相应金额充值到代理商的账户。</w:t>
      </w:r>
    </w:p>
    <w:p w:rsidR="004F0C36" w:rsidRPr="00761775" w:rsidRDefault="004F0C36" w:rsidP="00CE75F6">
      <w:pPr>
        <w:rPr>
          <w:rFonts w:ascii="黑体" w:eastAsia="黑体" w:hAnsi="黑体" w:hint="eastAsia"/>
          <w:sz w:val="24"/>
          <w:szCs w:val="24"/>
        </w:rPr>
      </w:pPr>
    </w:p>
    <w:p w:rsidR="00B62EC9" w:rsidRPr="00761775" w:rsidRDefault="00B62EC9" w:rsidP="00CE75F6">
      <w:pPr>
        <w:rPr>
          <w:rFonts w:ascii="黑体" w:eastAsia="黑体" w:hAnsi="黑体" w:hint="eastAsia"/>
          <w:b/>
          <w:sz w:val="24"/>
          <w:szCs w:val="24"/>
          <w:u w:val="single"/>
        </w:rPr>
      </w:pPr>
      <w:r w:rsidRPr="00761775">
        <w:rPr>
          <w:rFonts w:ascii="黑体" w:eastAsia="黑体" w:hAnsi="黑体" w:hint="eastAsia"/>
          <w:b/>
          <w:sz w:val="24"/>
          <w:szCs w:val="24"/>
          <w:u w:val="single"/>
        </w:rPr>
        <w:t>下单发货流程：</w:t>
      </w:r>
    </w:p>
    <w:p w:rsidR="00B62EC9" w:rsidRDefault="00B62EC9" w:rsidP="00E74AE9">
      <w:pPr>
        <w:ind w:firstLine="480"/>
        <w:rPr>
          <w:rFonts w:ascii="黑体" w:eastAsia="黑体" w:hAnsi="黑体" w:hint="eastAsia"/>
          <w:sz w:val="24"/>
          <w:szCs w:val="24"/>
        </w:rPr>
      </w:pPr>
      <w:r w:rsidRPr="00761775">
        <w:rPr>
          <w:rFonts w:ascii="黑体" w:eastAsia="黑体" w:hAnsi="黑体" w:hint="eastAsia"/>
          <w:sz w:val="24"/>
          <w:szCs w:val="24"/>
        </w:rPr>
        <w:t>消费者向代理商提交订单，</w:t>
      </w:r>
      <w:r w:rsidR="00E74AE9" w:rsidRPr="00761775">
        <w:rPr>
          <w:rFonts w:ascii="黑体" w:eastAsia="黑体" w:hAnsi="黑体" w:hint="eastAsia"/>
          <w:sz w:val="24"/>
          <w:szCs w:val="24"/>
        </w:rPr>
        <w:t>代理商把订单汇总提交给黑石平台后，黑石平台会在代理商账户中扣费（必需有足够的扣减金额才能生成订单），然后提交发货信息至供应商，供应商处理发货后反馈发货信息</w:t>
      </w:r>
      <w:r w:rsidR="00761775" w:rsidRPr="00761775">
        <w:rPr>
          <w:rFonts w:ascii="黑体" w:eastAsia="黑体" w:hAnsi="黑体" w:hint="eastAsia"/>
          <w:sz w:val="24"/>
          <w:szCs w:val="24"/>
        </w:rPr>
        <w:t>至</w:t>
      </w:r>
      <w:r w:rsidR="00E74AE9" w:rsidRPr="00761775">
        <w:rPr>
          <w:rFonts w:ascii="黑体" w:eastAsia="黑体" w:hAnsi="黑体" w:hint="eastAsia"/>
          <w:sz w:val="24"/>
          <w:szCs w:val="24"/>
        </w:rPr>
        <w:t>黑石平台（包括快递物流号、</w:t>
      </w:r>
      <w:r w:rsidR="00761775" w:rsidRPr="00761775">
        <w:rPr>
          <w:rFonts w:ascii="黑体" w:eastAsia="黑体" w:hAnsi="黑体" w:hint="eastAsia"/>
          <w:sz w:val="24"/>
          <w:szCs w:val="24"/>
        </w:rPr>
        <w:t>供应商内部发货流水号</w:t>
      </w:r>
      <w:r w:rsidR="00E74AE9" w:rsidRPr="00761775">
        <w:rPr>
          <w:rFonts w:ascii="黑体" w:eastAsia="黑体" w:hAnsi="黑体" w:hint="eastAsia"/>
          <w:sz w:val="24"/>
          <w:szCs w:val="24"/>
        </w:rPr>
        <w:t>）</w:t>
      </w:r>
      <w:r w:rsidR="00761775" w:rsidRPr="00761775">
        <w:rPr>
          <w:rFonts w:ascii="黑体" w:eastAsia="黑体" w:hAnsi="黑体" w:hint="eastAsia"/>
          <w:sz w:val="24"/>
          <w:szCs w:val="24"/>
        </w:rPr>
        <w:t>，之后再反馈至代理商，待代理商确认物流反馈有效后</w:t>
      </w:r>
      <w:r w:rsidR="00DE7AD0">
        <w:rPr>
          <w:rFonts w:ascii="黑体" w:eastAsia="黑体" w:hAnsi="黑体" w:hint="eastAsia"/>
          <w:sz w:val="24"/>
          <w:szCs w:val="24"/>
        </w:rPr>
        <w:t>（不处理3日后会自动确认）</w:t>
      </w:r>
      <w:r w:rsidR="00761775" w:rsidRPr="00761775">
        <w:rPr>
          <w:rFonts w:ascii="黑体" w:eastAsia="黑体" w:hAnsi="黑体" w:hint="eastAsia"/>
          <w:sz w:val="24"/>
          <w:szCs w:val="24"/>
        </w:rPr>
        <w:t>，黑石平台会将已确认订单生成结算单，再按结算单金额往供应商账户添加货款。</w:t>
      </w:r>
    </w:p>
    <w:p w:rsidR="00E85E4D" w:rsidRDefault="00E85E4D" w:rsidP="00E74AE9">
      <w:pPr>
        <w:ind w:firstLine="480"/>
        <w:rPr>
          <w:rFonts w:ascii="黑体" w:eastAsia="黑体" w:hAnsi="黑体" w:hint="eastAsia"/>
          <w:sz w:val="24"/>
          <w:szCs w:val="24"/>
        </w:rPr>
      </w:pPr>
    </w:p>
    <w:p w:rsidR="00E85E4D" w:rsidRDefault="00E85E4D" w:rsidP="00E85E4D">
      <w:pPr>
        <w:rPr>
          <w:rFonts w:ascii="黑体" w:eastAsia="黑体" w:hAnsi="黑体" w:hint="eastAsia"/>
          <w:b/>
          <w:sz w:val="24"/>
          <w:szCs w:val="24"/>
          <w:u w:val="single"/>
        </w:rPr>
      </w:pPr>
      <w:r w:rsidRPr="00E85E4D">
        <w:rPr>
          <w:rFonts w:ascii="黑体" w:eastAsia="黑体" w:hAnsi="黑体" w:hint="eastAsia"/>
          <w:b/>
          <w:sz w:val="24"/>
          <w:szCs w:val="24"/>
          <w:u w:val="single"/>
        </w:rPr>
        <w:t>发货反馈无效</w:t>
      </w:r>
      <w:r>
        <w:rPr>
          <w:rFonts w:ascii="黑体" w:eastAsia="黑体" w:hAnsi="黑体" w:hint="eastAsia"/>
          <w:b/>
          <w:sz w:val="24"/>
          <w:szCs w:val="24"/>
          <w:u w:val="single"/>
        </w:rPr>
        <w:t>：</w:t>
      </w:r>
    </w:p>
    <w:p w:rsidR="00E85E4D" w:rsidRPr="00E85E4D" w:rsidRDefault="00E85E4D" w:rsidP="00E85E4D">
      <w:pPr>
        <w:rPr>
          <w:rFonts w:ascii="黑体" w:eastAsia="黑体" w:hAnsi="黑体" w:hint="eastAsia"/>
          <w:sz w:val="24"/>
          <w:szCs w:val="24"/>
        </w:rPr>
      </w:pPr>
      <w:r w:rsidRPr="00E85E4D">
        <w:rPr>
          <w:rFonts w:ascii="黑体" w:eastAsia="黑体" w:hAnsi="黑体" w:hint="eastAsia"/>
          <w:sz w:val="24"/>
          <w:szCs w:val="24"/>
        </w:rPr>
        <w:t xml:space="preserve">    个别情况，如果供应商提交了发货信息，但是顾客没有收到，代理商可以在订单管理页面提交“发货无效”</w:t>
      </w:r>
      <w:r>
        <w:rPr>
          <w:rFonts w:ascii="黑体" w:eastAsia="黑体" w:hAnsi="黑体" w:hint="eastAsia"/>
          <w:sz w:val="24"/>
          <w:szCs w:val="24"/>
        </w:rPr>
        <w:t>，</w:t>
      </w:r>
      <w:r w:rsidRPr="00E85E4D">
        <w:rPr>
          <w:rFonts w:ascii="黑体" w:eastAsia="黑体" w:hAnsi="黑体" w:hint="eastAsia"/>
          <w:sz w:val="24"/>
          <w:szCs w:val="24"/>
        </w:rPr>
        <w:t xml:space="preserve">黑石平台客服会根据代理商提交发货无效的订单进行核实，如果确实供应商无法提供有效证据，会返还该“发货无效”订单的金额  </w:t>
      </w:r>
    </w:p>
    <w:p w:rsidR="00E74AE9" w:rsidRDefault="00E74AE9" w:rsidP="00E74AE9">
      <w:pPr>
        <w:ind w:firstLine="480"/>
        <w:rPr>
          <w:rFonts w:ascii="黑体" w:eastAsia="黑体" w:hAnsi="黑体" w:hint="eastAsia"/>
          <w:b/>
          <w:sz w:val="24"/>
          <w:szCs w:val="24"/>
          <w:u w:val="single"/>
        </w:rPr>
      </w:pPr>
    </w:p>
    <w:p w:rsidR="00DE7AD0" w:rsidRDefault="00DE7AD0" w:rsidP="00DE7AD0">
      <w:pPr>
        <w:rPr>
          <w:rFonts w:ascii="黑体" w:eastAsia="黑体" w:hAnsi="黑体" w:hint="eastAsia"/>
          <w:b/>
          <w:sz w:val="24"/>
          <w:szCs w:val="24"/>
          <w:u w:val="single"/>
        </w:rPr>
      </w:pPr>
      <w:r>
        <w:rPr>
          <w:rFonts w:ascii="黑体" w:eastAsia="黑体" w:hAnsi="黑体" w:hint="eastAsia"/>
          <w:b/>
          <w:sz w:val="24"/>
          <w:szCs w:val="24"/>
          <w:u w:val="single"/>
        </w:rPr>
        <w:t>发货失败</w:t>
      </w:r>
      <w:r w:rsidRPr="00761775">
        <w:rPr>
          <w:rFonts w:ascii="黑体" w:eastAsia="黑体" w:hAnsi="黑体" w:hint="eastAsia"/>
          <w:b/>
          <w:sz w:val="24"/>
          <w:szCs w:val="24"/>
          <w:u w:val="single"/>
        </w:rPr>
        <w:t>：</w:t>
      </w:r>
    </w:p>
    <w:p w:rsidR="00DE7AD0" w:rsidRPr="00DE7AD0" w:rsidRDefault="00DE7AD0" w:rsidP="00DE7AD0">
      <w:pPr>
        <w:rPr>
          <w:rFonts w:ascii="黑体" w:eastAsia="黑体" w:hAnsi="黑体" w:hint="eastAsia"/>
          <w:sz w:val="24"/>
          <w:szCs w:val="24"/>
        </w:rPr>
      </w:pPr>
      <w:r w:rsidRPr="00DE7AD0">
        <w:rPr>
          <w:rFonts w:ascii="黑体" w:eastAsia="黑体" w:hAnsi="黑体" w:hint="eastAsia"/>
          <w:sz w:val="24"/>
          <w:szCs w:val="24"/>
        </w:rPr>
        <w:t xml:space="preserve">    供应商有可能因为自身库存原因，无法100%处理代理商的发货需求</w:t>
      </w:r>
      <w:r>
        <w:rPr>
          <w:rFonts w:ascii="黑体" w:eastAsia="黑体" w:hAnsi="黑体" w:hint="eastAsia"/>
          <w:sz w:val="24"/>
          <w:szCs w:val="24"/>
        </w:rPr>
        <w:t>，</w:t>
      </w:r>
      <w:r w:rsidRPr="00DE7AD0">
        <w:rPr>
          <w:rFonts w:ascii="黑体" w:eastAsia="黑体" w:hAnsi="黑体" w:hint="eastAsia"/>
          <w:sz w:val="24"/>
          <w:szCs w:val="24"/>
        </w:rPr>
        <w:t>对于供应商无法做发货反馈的订单，代理商可以手动“取消订单”</w:t>
      </w:r>
      <w:r>
        <w:rPr>
          <w:rFonts w:ascii="黑体" w:eastAsia="黑体" w:hAnsi="黑体" w:hint="eastAsia"/>
          <w:sz w:val="24"/>
          <w:szCs w:val="24"/>
        </w:rPr>
        <w:t>，</w:t>
      </w:r>
      <w:r w:rsidRPr="00DE7AD0">
        <w:rPr>
          <w:rFonts w:ascii="黑体" w:eastAsia="黑体" w:hAnsi="黑体" w:hint="eastAsia"/>
          <w:sz w:val="24"/>
          <w:szCs w:val="24"/>
        </w:rPr>
        <w:t>代理商在取消订单后，相应的货款自动添加回代理商的账户</w:t>
      </w:r>
    </w:p>
    <w:p w:rsidR="00DE7AD0" w:rsidRPr="00761775" w:rsidRDefault="00DE7AD0" w:rsidP="00E74AE9">
      <w:pPr>
        <w:ind w:firstLine="480"/>
        <w:rPr>
          <w:rFonts w:ascii="黑体" w:eastAsia="黑体" w:hAnsi="黑体" w:hint="eastAsia"/>
          <w:b/>
          <w:sz w:val="24"/>
          <w:szCs w:val="24"/>
          <w:u w:val="single"/>
        </w:rPr>
      </w:pPr>
    </w:p>
    <w:p w:rsidR="00AD4F76" w:rsidRPr="00761775" w:rsidRDefault="004F0C36" w:rsidP="00AD4F76">
      <w:pPr>
        <w:rPr>
          <w:rFonts w:ascii="黑体" w:eastAsia="黑体" w:hAnsi="黑体" w:hint="eastAsia"/>
          <w:b/>
          <w:sz w:val="24"/>
          <w:szCs w:val="24"/>
          <w:u w:val="single"/>
        </w:rPr>
      </w:pPr>
      <w:r w:rsidRPr="00761775">
        <w:rPr>
          <w:rFonts w:ascii="黑体" w:eastAsia="黑体" w:hAnsi="黑体" w:hint="eastAsia"/>
          <w:b/>
          <w:sz w:val="24"/>
          <w:szCs w:val="24"/>
          <w:u w:val="single"/>
        </w:rPr>
        <w:t>退货条件</w:t>
      </w:r>
      <w:r w:rsidR="00FD0154" w:rsidRPr="00761775">
        <w:rPr>
          <w:rFonts w:ascii="黑体" w:eastAsia="黑体" w:hAnsi="黑体" w:hint="eastAsia"/>
          <w:b/>
          <w:sz w:val="24"/>
          <w:szCs w:val="24"/>
          <w:u w:val="single"/>
        </w:rPr>
        <w:t>：</w:t>
      </w:r>
    </w:p>
    <w:p w:rsidR="00AD4F76" w:rsidRPr="00761775" w:rsidRDefault="00625003" w:rsidP="00AD4F76">
      <w:pPr>
        <w:pStyle w:val="a6"/>
        <w:numPr>
          <w:ilvl w:val="0"/>
          <w:numId w:val="1"/>
        </w:numPr>
        <w:ind w:firstLineChars="0"/>
        <w:rPr>
          <w:rFonts w:ascii="黑体" w:eastAsia="黑体" w:hAnsi="黑体" w:hint="eastAsia"/>
          <w:b/>
          <w:sz w:val="24"/>
          <w:szCs w:val="24"/>
          <w:u w:val="single"/>
        </w:rPr>
      </w:pPr>
      <w:r w:rsidRPr="00761775">
        <w:rPr>
          <w:rFonts w:ascii="黑体" w:eastAsia="黑体" w:hAnsi="黑体" w:hint="eastAsia"/>
          <w:sz w:val="24"/>
          <w:szCs w:val="24"/>
        </w:rPr>
        <w:t>当消费者向代理商申请退货，代理商需</w:t>
      </w:r>
      <w:r w:rsidR="00731512" w:rsidRPr="00761775">
        <w:rPr>
          <w:rFonts w:ascii="黑体" w:eastAsia="黑体" w:hAnsi="黑体" w:hint="eastAsia"/>
          <w:sz w:val="24"/>
          <w:szCs w:val="24"/>
        </w:rPr>
        <w:t>在供应商发货后14日内在黑石平台提交退货申请</w:t>
      </w:r>
      <w:r w:rsidR="007F6C3D" w:rsidRPr="00761775">
        <w:rPr>
          <w:rFonts w:ascii="黑体" w:eastAsia="黑体" w:hAnsi="黑体" w:hint="eastAsia"/>
          <w:sz w:val="24"/>
          <w:szCs w:val="24"/>
        </w:rPr>
        <w:t>。</w:t>
      </w:r>
    </w:p>
    <w:p w:rsidR="00AD4F76" w:rsidRPr="00761775" w:rsidRDefault="007F6C3D" w:rsidP="00AD4F76">
      <w:pPr>
        <w:pStyle w:val="a6"/>
        <w:numPr>
          <w:ilvl w:val="0"/>
          <w:numId w:val="1"/>
        </w:numPr>
        <w:ind w:firstLineChars="0"/>
        <w:rPr>
          <w:rFonts w:ascii="黑体" w:eastAsia="黑体" w:hAnsi="黑体" w:hint="eastAsia"/>
          <w:b/>
          <w:sz w:val="24"/>
          <w:szCs w:val="24"/>
          <w:u w:val="single"/>
        </w:rPr>
      </w:pPr>
      <w:r w:rsidRPr="00761775">
        <w:rPr>
          <w:rFonts w:ascii="黑体" w:eastAsia="黑体" w:hAnsi="黑体" w:hint="eastAsia"/>
          <w:sz w:val="24"/>
          <w:szCs w:val="24"/>
        </w:rPr>
        <w:t>消费者退回给供应商的商品，需要保持干净整洁、吊牌及包装完整，不得影</w:t>
      </w:r>
      <w:r w:rsidRPr="00761775">
        <w:rPr>
          <w:rFonts w:ascii="黑体" w:eastAsia="黑体" w:hAnsi="黑体" w:hint="eastAsia"/>
          <w:sz w:val="24"/>
          <w:szCs w:val="24"/>
        </w:rPr>
        <w:lastRenderedPageBreak/>
        <w:t>响供应商二次销售。</w:t>
      </w:r>
    </w:p>
    <w:p w:rsidR="00570096" w:rsidRPr="00761775" w:rsidRDefault="00625003" w:rsidP="00AD4F76">
      <w:pPr>
        <w:pStyle w:val="a6"/>
        <w:numPr>
          <w:ilvl w:val="0"/>
          <w:numId w:val="1"/>
        </w:numPr>
        <w:ind w:firstLineChars="0"/>
        <w:rPr>
          <w:rFonts w:ascii="黑体" w:eastAsia="黑体" w:hAnsi="黑体" w:hint="eastAsia"/>
          <w:b/>
          <w:sz w:val="24"/>
          <w:szCs w:val="24"/>
          <w:u w:val="single"/>
        </w:rPr>
      </w:pPr>
      <w:r w:rsidRPr="00761775">
        <w:rPr>
          <w:rFonts w:ascii="黑体" w:eastAsia="黑体" w:hAnsi="黑体" w:hint="eastAsia"/>
          <w:sz w:val="24"/>
          <w:szCs w:val="24"/>
        </w:rPr>
        <w:t>如</w:t>
      </w:r>
      <w:r w:rsidR="004F4AB3" w:rsidRPr="00761775">
        <w:rPr>
          <w:rFonts w:ascii="黑体" w:eastAsia="黑体" w:hAnsi="黑体" w:hint="eastAsia"/>
          <w:sz w:val="24"/>
          <w:szCs w:val="24"/>
        </w:rPr>
        <w:t>退货原</w:t>
      </w:r>
      <w:r w:rsidRPr="00761775">
        <w:rPr>
          <w:rFonts w:ascii="黑体" w:eastAsia="黑体" w:hAnsi="黑体" w:hint="eastAsia"/>
          <w:sz w:val="24"/>
          <w:szCs w:val="24"/>
        </w:rPr>
        <w:t>因</w:t>
      </w:r>
      <w:r w:rsidR="004F4AB3" w:rsidRPr="00761775">
        <w:rPr>
          <w:rFonts w:ascii="黑体" w:eastAsia="黑体" w:hAnsi="黑体" w:hint="eastAsia"/>
          <w:sz w:val="24"/>
          <w:szCs w:val="24"/>
        </w:rPr>
        <w:t>为</w:t>
      </w:r>
      <w:r w:rsidRPr="00761775">
        <w:rPr>
          <w:rFonts w:ascii="黑体" w:eastAsia="黑体" w:hAnsi="黑体" w:hint="eastAsia"/>
          <w:sz w:val="24"/>
          <w:szCs w:val="24"/>
        </w:rPr>
        <w:t>残次、瑕疵、</w:t>
      </w:r>
      <w:r w:rsidR="004F4AB3" w:rsidRPr="00761775">
        <w:rPr>
          <w:rFonts w:ascii="黑体" w:eastAsia="黑体" w:hAnsi="黑体" w:hint="eastAsia"/>
          <w:sz w:val="24"/>
          <w:szCs w:val="24"/>
        </w:rPr>
        <w:t>实物与下单不一致等</w:t>
      </w:r>
      <w:r w:rsidR="007F6C3D" w:rsidRPr="00761775">
        <w:rPr>
          <w:rFonts w:ascii="黑体" w:eastAsia="黑体" w:hAnsi="黑体" w:hint="eastAsia"/>
          <w:sz w:val="24"/>
          <w:szCs w:val="24"/>
        </w:rPr>
        <w:t>影响二次销售的商品</w:t>
      </w:r>
      <w:r w:rsidR="004F4AB3" w:rsidRPr="00761775">
        <w:rPr>
          <w:rFonts w:ascii="黑体" w:eastAsia="黑体" w:hAnsi="黑体" w:hint="eastAsia"/>
          <w:sz w:val="24"/>
          <w:szCs w:val="24"/>
        </w:rPr>
        <w:t>，代理商在提交退货申请时需要把消费者收到的问题商品的</w:t>
      </w:r>
      <w:r w:rsidR="007F6C3D" w:rsidRPr="00761775">
        <w:rPr>
          <w:rFonts w:ascii="黑体" w:eastAsia="黑体" w:hAnsi="黑体" w:hint="eastAsia"/>
          <w:sz w:val="24"/>
          <w:szCs w:val="24"/>
        </w:rPr>
        <w:t>清晰</w:t>
      </w:r>
      <w:r w:rsidR="004F4AB3" w:rsidRPr="00761775">
        <w:rPr>
          <w:rFonts w:ascii="黑体" w:eastAsia="黑体" w:hAnsi="黑体" w:hint="eastAsia"/>
          <w:sz w:val="24"/>
          <w:szCs w:val="24"/>
        </w:rPr>
        <w:t>实物图片</w:t>
      </w:r>
      <w:r w:rsidR="007F6C3D" w:rsidRPr="00761775">
        <w:rPr>
          <w:rFonts w:ascii="黑体" w:eastAsia="黑体" w:hAnsi="黑体" w:hint="eastAsia"/>
          <w:sz w:val="24"/>
          <w:szCs w:val="24"/>
        </w:rPr>
        <w:t>（包括吊牌</w:t>
      </w:r>
      <w:r w:rsidR="000B660A" w:rsidRPr="00761775">
        <w:rPr>
          <w:rFonts w:ascii="黑体" w:eastAsia="黑体" w:hAnsi="黑体" w:hint="eastAsia"/>
          <w:sz w:val="24"/>
          <w:szCs w:val="24"/>
        </w:rPr>
        <w:t>或鞋标</w:t>
      </w:r>
      <w:r w:rsidR="007F6C3D" w:rsidRPr="00761775">
        <w:rPr>
          <w:rFonts w:ascii="黑体" w:eastAsia="黑体" w:hAnsi="黑体" w:hint="eastAsia"/>
          <w:sz w:val="24"/>
          <w:szCs w:val="24"/>
        </w:rPr>
        <w:t>、商品问题所在的细节</w:t>
      </w:r>
      <w:r w:rsidR="000B660A" w:rsidRPr="00761775">
        <w:rPr>
          <w:rFonts w:ascii="黑体" w:eastAsia="黑体" w:hAnsi="黑体" w:hint="eastAsia"/>
          <w:sz w:val="24"/>
          <w:szCs w:val="24"/>
        </w:rPr>
        <w:t>图</w:t>
      </w:r>
      <w:r w:rsidR="007F6C3D" w:rsidRPr="00761775">
        <w:rPr>
          <w:rFonts w:ascii="黑体" w:eastAsia="黑体" w:hAnsi="黑体" w:hint="eastAsia"/>
          <w:sz w:val="24"/>
          <w:szCs w:val="24"/>
        </w:rPr>
        <w:t>）</w:t>
      </w:r>
      <w:r w:rsidR="004F4AB3" w:rsidRPr="00761775">
        <w:rPr>
          <w:rFonts w:ascii="黑体" w:eastAsia="黑体" w:hAnsi="黑体" w:hint="eastAsia"/>
          <w:sz w:val="24"/>
          <w:szCs w:val="24"/>
        </w:rPr>
        <w:t>一并提交</w:t>
      </w:r>
      <w:r w:rsidR="00570096" w:rsidRPr="00761775">
        <w:rPr>
          <w:rFonts w:ascii="黑体" w:eastAsia="黑体" w:hAnsi="黑体" w:hint="eastAsia"/>
          <w:sz w:val="24"/>
          <w:szCs w:val="24"/>
        </w:rPr>
        <w:t>，以便供应商确认。</w:t>
      </w:r>
    </w:p>
    <w:p w:rsidR="000B660A" w:rsidRPr="00761775" w:rsidRDefault="000B660A" w:rsidP="000B660A">
      <w:pPr>
        <w:rPr>
          <w:rFonts w:ascii="黑体" w:eastAsia="黑体" w:hAnsi="黑体" w:hint="eastAsia"/>
          <w:sz w:val="24"/>
          <w:szCs w:val="24"/>
        </w:rPr>
      </w:pPr>
    </w:p>
    <w:p w:rsidR="00986087" w:rsidRPr="00761775" w:rsidRDefault="004F0C36" w:rsidP="00CE75F6">
      <w:pPr>
        <w:rPr>
          <w:rFonts w:ascii="黑体" w:eastAsia="黑体" w:hAnsi="黑体" w:hint="eastAsia"/>
          <w:b/>
          <w:sz w:val="24"/>
          <w:szCs w:val="24"/>
          <w:u w:val="single"/>
        </w:rPr>
      </w:pPr>
      <w:r w:rsidRPr="00761775">
        <w:rPr>
          <w:rFonts w:ascii="黑体" w:eastAsia="黑体" w:hAnsi="黑体" w:hint="eastAsia"/>
          <w:b/>
          <w:sz w:val="24"/>
          <w:szCs w:val="24"/>
          <w:u w:val="single"/>
        </w:rPr>
        <w:t>退货流程：</w:t>
      </w:r>
    </w:p>
    <w:p w:rsidR="004F0C36" w:rsidRPr="00761775" w:rsidRDefault="003C433B" w:rsidP="000B660A">
      <w:pPr>
        <w:ind w:firstLineChars="200" w:firstLine="480"/>
        <w:rPr>
          <w:rFonts w:ascii="黑体" w:eastAsia="黑体" w:hAnsi="黑体" w:hint="eastAsia"/>
          <w:sz w:val="24"/>
          <w:szCs w:val="24"/>
        </w:rPr>
      </w:pPr>
      <w:r w:rsidRPr="00761775">
        <w:rPr>
          <w:rFonts w:ascii="黑体" w:eastAsia="黑体" w:hAnsi="黑体" w:hint="eastAsia"/>
          <w:sz w:val="24"/>
          <w:szCs w:val="24"/>
        </w:rPr>
        <w:t>消费者向代理商提出退货需求后，代理商把需要退货的订单在黑石平台提交退货申请，再由黑石平台把退货申请提交</w:t>
      </w:r>
      <w:r w:rsidR="0032643E" w:rsidRPr="00761775">
        <w:rPr>
          <w:rFonts w:ascii="黑体" w:eastAsia="黑体" w:hAnsi="黑体" w:hint="eastAsia"/>
          <w:sz w:val="24"/>
          <w:szCs w:val="24"/>
        </w:rPr>
        <w:t>至</w:t>
      </w:r>
      <w:r w:rsidRPr="00761775">
        <w:rPr>
          <w:rFonts w:ascii="黑体" w:eastAsia="黑体" w:hAnsi="黑体" w:hint="eastAsia"/>
          <w:sz w:val="24"/>
          <w:szCs w:val="24"/>
        </w:rPr>
        <w:t>供应商,待供应商确认</w:t>
      </w:r>
      <w:r w:rsidR="0032643E" w:rsidRPr="00761775">
        <w:rPr>
          <w:rFonts w:ascii="黑体" w:eastAsia="黑体" w:hAnsi="黑体" w:hint="eastAsia"/>
          <w:sz w:val="24"/>
          <w:szCs w:val="24"/>
        </w:rPr>
        <w:t>；如供应商确认可退，</w:t>
      </w:r>
      <w:r w:rsidR="00986087" w:rsidRPr="00761775">
        <w:rPr>
          <w:rFonts w:ascii="黑体" w:eastAsia="黑体" w:hAnsi="黑体" w:hint="eastAsia"/>
          <w:sz w:val="24"/>
          <w:szCs w:val="24"/>
        </w:rPr>
        <w:t>由</w:t>
      </w:r>
      <w:r w:rsidR="0032643E" w:rsidRPr="00761775">
        <w:rPr>
          <w:rFonts w:ascii="黑体" w:eastAsia="黑体" w:hAnsi="黑体" w:hint="eastAsia"/>
          <w:sz w:val="24"/>
          <w:szCs w:val="24"/>
        </w:rPr>
        <w:t>黑石平台把</w:t>
      </w:r>
      <w:r w:rsidR="00986087" w:rsidRPr="00761775">
        <w:rPr>
          <w:rFonts w:ascii="黑体" w:eastAsia="黑体" w:hAnsi="黑体" w:hint="eastAsia"/>
          <w:sz w:val="24"/>
          <w:szCs w:val="24"/>
        </w:rPr>
        <w:t>退货申请确认反馈至代理商，让代理商通知消费者把商品直接寄给供应商；当供应商收到消费者寄回的实物，进行商品检查与数量确认后，向黑石平台反馈并确认实收商品情况，</w:t>
      </w:r>
      <w:r w:rsidR="000A0EF3" w:rsidRPr="00761775">
        <w:rPr>
          <w:rFonts w:ascii="黑体" w:eastAsia="黑体" w:hAnsi="黑体" w:hint="eastAsia"/>
          <w:sz w:val="24"/>
          <w:szCs w:val="24"/>
        </w:rPr>
        <w:t>确认无误后，黑石平台从供应商账户中减少此订单货款，再把此货款增加</w:t>
      </w:r>
      <w:r w:rsidR="00517A3C" w:rsidRPr="00761775">
        <w:rPr>
          <w:rFonts w:ascii="黑体" w:eastAsia="黑体" w:hAnsi="黑体" w:hint="eastAsia"/>
          <w:sz w:val="24"/>
          <w:szCs w:val="24"/>
        </w:rPr>
        <w:t>到</w:t>
      </w:r>
      <w:r w:rsidR="000A0EF3" w:rsidRPr="00761775">
        <w:rPr>
          <w:rFonts w:ascii="黑体" w:eastAsia="黑体" w:hAnsi="黑体" w:hint="eastAsia"/>
          <w:sz w:val="24"/>
          <w:szCs w:val="24"/>
        </w:rPr>
        <w:t>代理商账户</w:t>
      </w:r>
      <w:r w:rsidR="00517A3C" w:rsidRPr="00761775">
        <w:rPr>
          <w:rFonts w:ascii="黑体" w:eastAsia="黑体" w:hAnsi="黑体" w:hint="eastAsia"/>
          <w:sz w:val="24"/>
          <w:szCs w:val="24"/>
        </w:rPr>
        <w:t>。</w:t>
      </w:r>
    </w:p>
    <w:p w:rsidR="004F0C36" w:rsidRPr="00761775" w:rsidRDefault="004F0C36" w:rsidP="00CE75F6">
      <w:pPr>
        <w:rPr>
          <w:rFonts w:ascii="黑体" w:eastAsia="黑体" w:hAnsi="黑体" w:hint="eastAsia"/>
          <w:sz w:val="24"/>
          <w:szCs w:val="24"/>
        </w:rPr>
      </w:pPr>
    </w:p>
    <w:p w:rsidR="007B223A" w:rsidRPr="00761775" w:rsidRDefault="000B660A" w:rsidP="000B660A">
      <w:pPr>
        <w:rPr>
          <w:rFonts w:ascii="黑体" w:eastAsia="黑体" w:hAnsi="黑体" w:hint="eastAsia"/>
          <w:b/>
          <w:sz w:val="24"/>
          <w:szCs w:val="24"/>
          <w:u w:val="single"/>
        </w:rPr>
      </w:pPr>
      <w:r w:rsidRPr="00761775">
        <w:rPr>
          <w:rFonts w:ascii="黑体" w:eastAsia="黑体" w:hAnsi="黑体" w:hint="eastAsia"/>
          <w:b/>
          <w:sz w:val="24"/>
          <w:szCs w:val="24"/>
          <w:u w:val="single"/>
        </w:rPr>
        <w:t>退货争议：</w:t>
      </w:r>
    </w:p>
    <w:p w:rsidR="007B223A" w:rsidRPr="00761775" w:rsidRDefault="007B223A" w:rsidP="007B223A">
      <w:pPr>
        <w:ind w:firstLineChars="200" w:firstLine="482"/>
        <w:rPr>
          <w:rFonts w:ascii="黑体" w:eastAsia="黑体" w:hAnsi="黑体" w:hint="eastAsia"/>
          <w:b/>
          <w:sz w:val="24"/>
          <w:szCs w:val="24"/>
        </w:rPr>
      </w:pPr>
      <w:r w:rsidRPr="00761775">
        <w:rPr>
          <w:rFonts w:ascii="黑体" w:eastAsia="黑体" w:hAnsi="黑体" w:hint="eastAsia"/>
          <w:b/>
          <w:sz w:val="24"/>
          <w:szCs w:val="24"/>
        </w:rPr>
        <w:t>代理商提</w:t>
      </w:r>
      <w:r w:rsidR="00A34B9A" w:rsidRPr="00761775">
        <w:rPr>
          <w:rFonts w:ascii="黑体" w:eastAsia="黑体" w:hAnsi="黑体" w:hint="eastAsia"/>
          <w:b/>
          <w:sz w:val="24"/>
          <w:szCs w:val="24"/>
        </w:rPr>
        <w:t>交</w:t>
      </w:r>
      <w:r w:rsidRPr="00761775">
        <w:rPr>
          <w:rFonts w:ascii="黑体" w:eastAsia="黑体" w:hAnsi="黑体" w:hint="eastAsia"/>
          <w:b/>
          <w:sz w:val="24"/>
          <w:szCs w:val="24"/>
        </w:rPr>
        <w:t>退货申请后</w:t>
      </w:r>
      <w:r w:rsidR="00A34B9A" w:rsidRPr="00761775">
        <w:rPr>
          <w:rFonts w:ascii="黑体" w:eastAsia="黑体" w:hAnsi="黑体" w:hint="eastAsia"/>
          <w:b/>
          <w:sz w:val="24"/>
          <w:szCs w:val="24"/>
        </w:rPr>
        <w:t>被供应商拒绝退货：</w:t>
      </w:r>
    </w:p>
    <w:p w:rsidR="000B660A" w:rsidRPr="00761775" w:rsidRDefault="000B660A" w:rsidP="007B223A">
      <w:pPr>
        <w:ind w:firstLineChars="200" w:firstLine="480"/>
        <w:rPr>
          <w:rFonts w:ascii="黑体" w:eastAsia="黑体" w:hAnsi="黑体" w:hint="eastAsia"/>
          <w:sz w:val="24"/>
          <w:szCs w:val="24"/>
        </w:rPr>
      </w:pPr>
      <w:r w:rsidRPr="00761775">
        <w:rPr>
          <w:rFonts w:ascii="黑体" w:eastAsia="黑体" w:hAnsi="黑体" w:hint="eastAsia"/>
          <w:sz w:val="24"/>
          <w:szCs w:val="24"/>
        </w:rPr>
        <w:t>黑石平台客服可以要求双方各自提交证据后，对订单是否退货有效进行操作</w:t>
      </w:r>
      <w:r w:rsidR="00A34B9A" w:rsidRPr="00761775">
        <w:rPr>
          <w:rFonts w:ascii="黑体" w:eastAsia="黑体" w:hAnsi="黑体" w:hint="eastAsia"/>
          <w:sz w:val="24"/>
          <w:szCs w:val="24"/>
        </w:rPr>
        <w:t>。</w:t>
      </w:r>
    </w:p>
    <w:p w:rsidR="000B660A" w:rsidRPr="00761775" w:rsidRDefault="000B660A" w:rsidP="000B660A">
      <w:pPr>
        <w:ind w:firstLineChars="200" w:firstLine="480"/>
        <w:rPr>
          <w:rFonts w:ascii="黑体" w:eastAsia="黑体" w:hAnsi="黑体" w:hint="eastAsia"/>
          <w:sz w:val="24"/>
          <w:szCs w:val="24"/>
        </w:rPr>
      </w:pPr>
      <w:r w:rsidRPr="00761775">
        <w:rPr>
          <w:rFonts w:ascii="黑体" w:eastAsia="黑体" w:hAnsi="黑体" w:hint="eastAsia"/>
          <w:sz w:val="24"/>
          <w:szCs w:val="24"/>
        </w:rPr>
        <w:t>判定退货有效，</w:t>
      </w:r>
      <w:r w:rsidR="00342BFE" w:rsidRPr="00761775">
        <w:rPr>
          <w:rFonts w:ascii="黑体" w:eastAsia="黑体" w:hAnsi="黑体" w:hint="eastAsia"/>
          <w:sz w:val="24"/>
          <w:szCs w:val="24"/>
        </w:rPr>
        <w:t>则供应商必须接收货品，然后把货款退还到代理商账户，如果供应商账户无足够余额，黑石平台会由供应商提交给平台的押金中垫付。</w:t>
      </w:r>
    </w:p>
    <w:p w:rsidR="000B660A" w:rsidRPr="00761775" w:rsidRDefault="000B660A" w:rsidP="000B660A">
      <w:pPr>
        <w:ind w:firstLineChars="200" w:firstLine="480"/>
        <w:rPr>
          <w:rFonts w:ascii="黑体" w:eastAsia="黑体" w:hAnsi="黑体" w:hint="eastAsia"/>
          <w:sz w:val="24"/>
          <w:szCs w:val="24"/>
        </w:rPr>
      </w:pPr>
      <w:r w:rsidRPr="00761775">
        <w:rPr>
          <w:rFonts w:ascii="黑体" w:eastAsia="黑体" w:hAnsi="黑体" w:hint="eastAsia"/>
          <w:sz w:val="24"/>
          <w:szCs w:val="24"/>
        </w:rPr>
        <w:t>判定退货无效，则</w:t>
      </w:r>
      <w:r w:rsidR="001F71F0" w:rsidRPr="00761775">
        <w:rPr>
          <w:rFonts w:ascii="黑体" w:eastAsia="黑体" w:hAnsi="黑体" w:hint="eastAsia"/>
          <w:sz w:val="24"/>
          <w:szCs w:val="24"/>
        </w:rPr>
        <w:t>撤销退货申请</w:t>
      </w:r>
      <w:r w:rsidRPr="00761775">
        <w:rPr>
          <w:rFonts w:ascii="黑体" w:eastAsia="黑体" w:hAnsi="黑体" w:hint="eastAsia"/>
          <w:sz w:val="24"/>
          <w:szCs w:val="24"/>
        </w:rPr>
        <w:t>。</w:t>
      </w:r>
    </w:p>
    <w:p w:rsidR="00A34B9A" w:rsidRPr="00761775" w:rsidRDefault="00A34B9A" w:rsidP="000B660A">
      <w:pPr>
        <w:ind w:firstLineChars="200" w:firstLine="480"/>
        <w:rPr>
          <w:rFonts w:ascii="黑体" w:eastAsia="黑体" w:hAnsi="黑体" w:hint="eastAsia"/>
          <w:sz w:val="24"/>
          <w:szCs w:val="24"/>
        </w:rPr>
      </w:pPr>
    </w:p>
    <w:p w:rsidR="00A34B9A" w:rsidRPr="00761775" w:rsidRDefault="001F71F0" w:rsidP="00A34B9A">
      <w:pPr>
        <w:ind w:firstLineChars="200" w:firstLine="482"/>
        <w:rPr>
          <w:rFonts w:ascii="黑体" w:eastAsia="黑体" w:hAnsi="黑体" w:hint="eastAsia"/>
          <w:b/>
          <w:sz w:val="24"/>
          <w:szCs w:val="24"/>
        </w:rPr>
      </w:pPr>
      <w:r w:rsidRPr="00761775">
        <w:rPr>
          <w:rFonts w:ascii="黑体" w:eastAsia="黑体" w:hAnsi="黑体" w:hint="eastAsia"/>
          <w:b/>
          <w:sz w:val="24"/>
          <w:szCs w:val="24"/>
        </w:rPr>
        <w:t>供应商确认了代理商的退货申请，消费者把商品寄给供应商，被供应商验货拒收</w:t>
      </w:r>
      <w:r w:rsidR="00A34B9A" w:rsidRPr="00761775">
        <w:rPr>
          <w:rFonts w:ascii="黑体" w:eastAsia="黑体" w:hAnsi="黑体" w:hint="eastAsia"/>
          <w:b/>
          <w:sz w:val="24"/>
          <w:szCs w:val="24"/>
        </w:rPr>
        <w:t>：</w:t>
      </w:r>
    </w:p>
    <w:p w:rsidR="00A34B9A" w:rsidRPr="00761775" w:rsidRDefault="00A34B9A" w:rsidP="00A34B9A">
      <w:pPr>
        <w:ind w:firstLineChars="200" w:firstLine="480"/>
        <w:rPr>
          <w:rFonts w:ascii="黑体" w:eastAsia="黑体" w:hAnsi="黑体" w:hint="eastAsia"/>
          <w:sz w:val="24"/>
          <w:szCs w:val="24"/>
        </w:rPr>
      </w:pPr>
      <w:r w:rsidRPr="00761775">
        <w:rPr>
          <w:rFonts w:ascii="黑体" w:eastAsia="黑体" w:hAnsi="黑体" w:hint="eastAsia"/>
          <w:sz w:val="24"/>
          <w:szCs w:val="24"/>
        </w:rPr>
        <w:t>黑石平台客服可以要求双方各自提交证据后，对订单是否退货有效进行操作。</w:t>
      </w:r>
    </w:p>
    <w:p w:rsidR="00A34B9A" w:rsidRPr="00761775" w:rsidRDefault="00A34B9A" w:rsidP="00A34B9A">
      <w:pPr>
        <w:ind w:firstLineChars="200" w:firstLine="480"/>
        <w:rPr>
          <w:rFonts w:ascii="黑体" w:eastAsia="黑体" w:hAnsi="黑体" w:hint="eastAsia"/>
          <w:sz w:val="24"/>
          <w:szCs w:val="24"/>
        </w:rPr>
      </w:pPr>
      <w:r w:rsidRPr="00761775">
        <w:rPr>
          <w:rFonts w:ascii="黑体" w:eastAsia="黑体" w:hAnsi="黑体" w:hint="eastAsia"/>
          <w:sz w:val="24"/>
          <w:szCs w:val="24"/>
        </w:rPr>
        <w:t>判定退货有效，则供应商必须接收货品，然后把货款退还到代理商账户，如果供应商账户无足够余额，黑石平台会由供应商提交给平台的押金中垫付。</w:t>
      </w:r>
    </w:p>
    <w:p w:rsidR="00A34B9A" w:rsidRPr="00761775" w:rsidRDefault="00A34B9A" w:rsidP="00A34B9A">
      <w:pPr>
        <w:ind w:firstLineChars="200" w:firstLine="480"/>
        <w:rPr>
          <w:rFonts w:ascii="黑体" w:eastAsia="黑体" w:hAnsi="黑体" w:hint="eastAsia"/>
          <w:sz w:val="24"/>
          <w:szCs w:val="24"/>
        </w:rPr>
      </w:pPr>
      <w:r w:rsidRPr="00761775">
        <w:rPr>
          <w:rFonts w:ascii="黑体" w:eastAsia="黑体" w:hAnsi="黑体" w:hint="eastAsia"/>
          <w:sz w:val="24"/>
          <w:szCs w:val="24"/>
        </w:rPr>
        <w:t>判定退货无效，</w:t>
      </w:r>
      <w:r w:rsidR="00342BFE" w:rsidRPr="00761775">
        <w:rPr>
          <w:rFonts w:ascii="黑体" w:eastAsia="黑体" w:hAnsi="黑体" w:hint="eastAsia"/>
          <w:sz w:val="24"/>
          <w:szCs w:val="24"/>
        </w:rPr>
        <w:t>则供应商必须把货品退换给代理商，</w:t>
      </w:r>
      <w:r w:rsidRPr="00761775">
        <w:rPr>
          <w:rFonts w:ascii="黑体" w:eastAsia="黑体" w:hAnsi="黑体" w:hint="eastAsia"/>
          <w:sz w:val="24"/>
          <w:szCs w:val="24"/>
        </w:rPr>
        <w:t>双方账户不作变动。</w:t>
      </w:r>
    </w:p>
    <w:p w:rsidR="00AD7E55" w:rsidRDefault="00AD7E55" w:rsidP="00CE75F6">
      <w:pPr>
        <w:rPr>
          <w:rFonts w:ascii="黑体" w:eastAsia="黑体" w:hAnsi="黑体" w:hint="eastAsia"/>
          <w:color w:val="FF0000"/>
          <w:sz w:val="24"/>
          <w:szCs w:val="24"/>
          <w:u w:val="single"/>
        </w:rPr>
      </w:pPr>
    </w:p>
    <w:p w:rsidR="00AD7E55" w:rsidRPr="00761775" w:rsidRDefault="00AD7E55" w:rsidP="00AD7E55">
      <w:pPr>
        <w:rPr>
          <w:rFonts w:ascii="黑体" w:eastAsia="黑体" w:hAnsi="黑体" w:hint="eastAsia"/>
          <w:b/>
          <w:sz w:val="24"/>
          <w:szCs w:val="24"/>
          <w:u w:val="single"/>
        </w:rPr>
      </w:pPr>
      <w:r>
        <w:rPr>
          <w:rFonts w:ascii="黑体" w:eastAsia="黑体" w:hAnsi="黑体" w:hint="eastAsia"/>
          <w:b/>
          <w:sz w:val="24"/>
          <w:szCs w:val="24"/>
          <w:u w:val="single"/>
        </w:rPr>
        <w:t>开票流程</w:t>
      </w:r>
      <w:r w:rsidRPr="00761775">
        <w:rPr>
          <w:rFonts w:ascii="黑体" w:eastAsia="黑体" w:hAnsi="黑体" w:hint="eastAsia"/>
          <w:b/>
          <w:sz w:val="24"/>
          <w:szCs w:val="24"/>
          <w:u w:val="single"/>
        </w:rPr>
        <w:t>：</w:t>
      </w:r>
    </w:p>
    <w:p w:rsidR="00AD7E55" w:rsidRDefault="00AD7E55" w:rsidP="00C92E0B">
      <w:pPr>
        <w:ind w:firstLine="480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代理商在黑石平台选择相应订单提交开票申请，经黑石平台核查订单中未发生退货后，提交</w:t>
      </w:r>
      <w:r w:rsidR="00272440">
        <w:rPr>
          <w:rFonts w:ascii="黑体" w:eastAsia="黑体" w:hAnsi="黑体" w:hint="eastAsia"/>
          <w:sz w:val="24"/>
          <w:szCs w:val="24"/>
        </w:rPr>
        <w:t>开票信息</w:t>
      </w:r>
      <w:r>
        <w:rPr>
          <w:rFonts w:ascii="黑体" w:eastAsia="黑体" w:hAnsi="黑体" w:hint="eastAsia"/>
          <w:sz w:val="24"/>
          <w:szCs w:val="24"/>
        </w:rPr>
        <w:t>至供应商，待供应商开出发票</w:t>
      </w:r>
      <w:r w:rsidR="00272440">
        <w:rPr>
          <w:rFonts w:ascii="黑体" w:eastAsia="黑体" w:hAnsi="黑体" w:hint="eastAsia"/>
          <w:sz w:val="24"/>
          <w:szCs w:val="24"/>
        </w:rPr>
        <w:t>并</w:t>
      </w:r>
      <w:r>
        <w:rPr>
          <w:rFonts w:ascii="黑体" w:eastAsia="黑体" w:hAnsi="黑体" w:hint="eastAsia"/>
          <w:sz w:val="24"/>
          <w:szCs w:val="24"/>
        </w:rPr>
        <w:t>反馈开票票号至黑石平台，发票</w:t>
      </w:r>
      <w:r w:rsidR="00272440">
        <w:rPr>
          <w:rFonts w:ascii="黑体" w:eastAsia="黑体" w:hAnsi="黑体" w:hint="eastAsia"/>
          <w:sz w:val="24"/>
          <w:szCs w:val="24"/>
        </w:rPr>
        <w:t>会</w:t>
      </w:r>
      <w:r>
        <w:rPr>
          <w:rFonts w:ascii="黑体" w:eastAsia="黑体" w:hAnsi="黑体" w:hint="eastAsia"/>
          <w:sz w:val="24"/>
          <w:szCs w:val="24"/>
        </w:rPr>
        <w:t>由供应商</w:t>
      </w:r>
      <w:r w:rsidR="00272440">
        <w:rPr>
          <w:rFonts w:ascii="黑体" w:eastAsia="黑体" w:hAnsi="黑体" w:hint="eastAsia"/>
          <w:sz w:val="24"/>
          <w:szCs w:val="24"/>
        </w:rPr>
        <w:t>直接寄给代理商。</w:t>
      </w:r>
    </w:p>
    <w:p w:rsidR="00C92E0B" w:rsidRDefault="00C92E0B" w:rsidP="00C92E0B">
      <w:pPr>
        <w:ind w:firstLine="480"/>
        <w:rPr>
          <w:rFonts w:ascii="黑体" w:eastAsia="黑体" w:hAnsi="黑体" w:hint="eastAsia"/>
          <w:sz w:val="24"/>
          <w:szCs w:val="24"/>
        </w:rPr>
      </w:pPr>
    </w:p>
    <w:p w:rsidR="00C92E0B" w:rsidRPr="00761775" w:rsidRDefault="00C92E0B" w:rsidP="00C92E0B">
      <w:pPr>
        <w:rPr>
          <w:rFonts w:ascii="黑体" w:eastAsia="黑体" w:hAnsi="黑体" w:hint="eastAsia"/>
          <w:b/>
          <w:sz w:val="24"/>
          <w:szCs w:val="24"/>
          <w:u w:val="single"/>
        </w:rPr>
      </w:pPr>
      <w:r w:rsidRPr="00761775">
        <w:rPr>
          <w:rFonts w:ascii="黑体" w:eastAsia="黑体" w:hAnsi="黑体" w:hint="eastAsia"/>
          <w:b/>
          <w:sz w:val="24"/>
          <w:szCs w:val="24"/>
          <w:u w:val="single"/>
        </w:rPr>
        <w:t>进货折扣分级条件（暂定）：</w:t>
      </w:r>
    </w:p>
    <w:p w:rsidR="00C92E0B" w:rsidRPr="00761775" w:rsidRDefault="00C92E0B" w:rsidP="00C92E0B">
      <w:pPr>
        <w:rPr>
          <w:rFonts w:ascii="黑体" w:eastAsia="黑体" w:hAnsi="黑体" w:hint="eastAsia"/>
          <w:sz w:val="24"/>
          <w:szCs w:val="24"/>
        </w:rPr>
      </w:pPr>
      <w:r w:rsidRPr="00761775">
        <w:rPr>
          <w:rFonts w:ascii="黑体" w:eastAsia="黑体" w:hAnsi="黑体" w:hint="eastAsia"/>
          <w:sz w:val="24"/>
          <w:szCs w:val="24"/>
        </w:rPr>
        <w:t xml:space="preserve">     黑石平台根据每个代理商的月度销售额进行折扣评级（考察期3个月）：</w:t>
      </w:r>
    </w:p>
    <w:p w:rsidR="00C92E0B" w:rsidRPr="00761775" w:rsidRDefault="00C92E0B" w:rsidP="00C92E0B">
      <w:pPr>
        <w:rPr>
          <w:rFonts w:ascii="黑体" w:eastAsia="黑体" w:hAnsi="黑体"/>
          <w:sz w:val="24"/>
          <w:szCs w:val="24"/>
        </w:rPr>
      </w:pPr>
      <w:r w:rsidRPr="00761775">
        <w:rPr>
          <w:rFonts w:ascii="黑体" w:eastAsia="黑体" w:hAnsi="黑体" w:hint="eastAsia"/>
          <w:sz w:val="24"/>
          <w:szCs w:val="24"/>
        </w:rPr>
        <w:t xml:space="preserve">     </w:t>
      </w:r>
    </w:p>
    <w:tbl>
      <w:tblPr>
        <w:tblStyle w:val="a5"/>
        <w:tblW w:w="0" w:type="auto"/>
        <w:tblLook w:val="04A0"/>
      </w:tblPr>
      <w:tblGrid>
        <w:gridCol w:w="2996"/>
        <w:gridCol w:w="2952"/>
        <w:gridCol w:w="2998"/>
      </w:tblGrid>
      <w:tr w:rsidR="00C92E0B" w:rsidRPr="00761775" w:rsidTr="004B0618">
        <w:trPr>
          <w:trHeight w:val="802"/>
        </w:trPr>
        <w:tc>
          <w:tcPr>
            <w:tcW w:w="3526" w:type="dxa"/>
            <w:vAlign w:val="center"/>
          </w:tcPr>
          <w:p w:rsidR="00C92E0B" w:rsidRPr="00761775" w:rsidRDefault="00C92E0B" w:rsidP="004B061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61775">
              <w:rPr>
                <w:rFonts w:ascii="黑体" w:eastAsia="黑体" w:hAnsi="黑体" w:hint="eastAsia"/>
                <w:sz w:val="24"/>
                <w:szCs w:val="24"/>
              </w:rPr>
              <w:t>级别（4为最高）</w:t>
            </w:r>
          </w:p>
        </w:tc>
        <w:tc>
          <w:tcPr>
            <w:tcW w:w="3526" w:type="dxa"/>
            <w:vAlign w:val="center"/>
          </w:tcPr>
          <w:p w:rsidR="00C92E0B" w:rsidRPr="00761775" w:rsidRDefault="00C92E0B" w:rsidP="004B061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61775">
              <w:rPr>
                <w:rFonts w:ascii="黑体" w:eastAsia="黑体" w:hAnsi="黑体" w:hint="eastAsia"/>
                <w:sz w:val="24"/>
                <w:szCs w:val="24"/>
              </w:rPr>
              <w:t>3个月平均月销售额</w:t>
            </w:r>
          </w:p>
        </w:tc>
        <w:tc>
          <w:tcPr>
            <w:tcW w:w="3528" w:type="dxa"/>
            <w:vAlign w:val="center"/>
          </w:tcPr>
          <w:p w:rsidR="00C92E0B" w:rsidRPr="00761775" w:rsidRDefault="00C92E0B" w:rsidP="004B061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61775">
              <w:rPr>
                <w:rFonts w:ascii="黑体" w:eastAsia="黑体" w:hAnsi="黑体" w:hint="eastAsia"/>
                <w:sz w:val="24"/>
                <w:szCs w:val="24"/>
              </w:rPr>
              <w:t>折扣</w:t>
            </w:r>
          </w:p>
          <w:p w:rsidR="00C92E0B" w:rsidRPr="00761775" w:rsidRDefault="00C92E0B" w:rsidP="004B061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61775">
              <w:rPr>
                <w:rFonts w:ascii="黑体" w:eastAsia="黑体" w:hAnsi="黑体" w:hint="eastAsia"/>
                <w:sz w:val="24"/>
                <w:szCs w:val="24"/>
              </w:rPr>
              <w:t>（供应商提供给黑石平台的折扣基础上加扣点）</w:t>
            </w:r>
          </w:p>
        </w:tc>
      </w:tr>
      <w:tr w:rsidR="00C92E0B" w:rsidRPr="00761775" w:rsidTr="004B0618">
        <w:trPr>
          <w:trHeight w:val="316"/>
        </w:trPr>
        <w:tc>
          <w:tcPr>
            <w:tcW w:w="3526" w:type="dxa"/>
            <w:vAlign w:val="center"/>
          </w:tcPr>
          <w:p w:rsidR="00C92E0B" w:rsidRPr="00761775" w:rsidRDefault="00C92E0B" w:rsidP="004B061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61775"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3526" w:type="dxa"/>
            <w:vAlign w:val="center"/>
          </w:tcPr>
          <w:p w:rsidR="00C92E0B" w:rsidRPr="00761775" w:rsidRDefault="00C92E0B" w:rsidP="004B061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61775">
              <w:rPr>
                <w:rFonts w:ascii="黑体" w:eastAsia="黑体" w:hAnsi="黑体" w:hint="eastAsia"/>
                <w:sz w:val="24"/>
                <w:szCs w:val="24"/>
              </w:rPr>
              <w:t>20万</w:t>
            </w:r>
          </w:p>
        </w:tc>
        <w:tc>
          <w:tcPr>
            <w:tcW w:w="3528" w:type="dxa"/>
            <w:vAlign w:val="center"/>
          </w:tcPr>
          <w:p w:rsidR="00C92E0B" w:rsidRPr="00761775" w:rsidRDefault="00C92E0B" w:rsidP="004B061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61775">
              <w:rPr>
                <w:rFonts w:ascii="黑体" w:eastAsia="黑体" w:hAnsi="黑体" w:hint="eastAsia"/>
                <w:sz w:val="24"/>
                <w:szCs w:val="24"/>
              </w:rPr>
              <w:t>1%</w:t>
            </w:r>
          </w:p>
        </w:tc>
      </w:tr>
      <w:tr w:rsidR="00C92E0B" w:rsidRPr="00761775" w:rsidTr="004B0618">
        <w:trPr>
          <w:trHeight w:val="332"/>
        </w:trPr>
        <w:tc>
          <w:tcPr>
            <w:tcW w:w="3526" w:type="dxa"/>
            <w:vAlign w:val="center"/>
          </w:tcPr>
          <w:p w:rsidR="00C92E0B" w:rsidRPr="00761775" w:rsidRDefault="00C92E0B" w:rsidP="004B061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61775"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3526" w:type="dxa"/>
            <w:vAlign w:val="center"/>
          </w:tcPr>
          <w:p w:rsidR="00C92E0B" w:rsidRPr="00761775" w:rsidRDefault="00C92E0B" w:rsidP="004B061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61775">
              <w:rPr>
                <w:rFonts w:ascii="黑体" w:eastAsia="黑体" w:hAnsi="黑体" w:hint="eastAsia"/>
                <w:sz w:val="24"/>
                <w:szCs w:val="24"/>
              </w:rPr>
              <w:t>15万</w:t>
            </w:r>
          </w:p>
        </w:tc>
        <w:tc>
          <w:tcPr>
            <w:tcW w:w="3528" w:type="dxa"/>
            <w:vAlign w:val="center"/>
          </w:tcPr>
          <w:p w:rsidR="00C92E0B" w:rsidRPr="00761775" w:rsidRDefault="00C92E0B" w:rsidP="004B061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61775">
              <w:rPr>
                <w:rFonts w:ascii="黑体" w:eastAsia="黑体" w:hAnsi="黑体" w:hint="eastAsia"/>
                <w:sz w:val="24"/>
                <w:szCs w:val="24"/>
              </w:rPr>
              <w:t>1.5%</w:t>
            </w:r>
          </w:p>
        </w:tc>
      </w:tr>
      <w:tr w:rsidR="00C92E0B" w:rsidRPr="00761775" w:rsidTr="004B0618">
        <w:trPr>
          <w:trHeight w:val="332"/>
        </w:trPr>
        <w:tc>
          <w:tcPr>
            <w:tcW w:w="3526" w:type="dxa"/>
            <w:vAlign w:val="center"/>
          </w:tcPr>
          <w:p w:rsidR="00C92E0B" w:rsidRPr="00761775" w:rsidRDefault="00C92E0B" w:rsidP="004B061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61775"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3526" w:type="dxa"/>
            <w:vAlign w:val="center"/>
          </w:tcPr>
          <w:p w:rsidR="00C92E0B" w:rsidRPr="00761775" w:rsidRDefault="00C92E0B" w:rsidP="004B061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61775">
              <w:rPr>
                <w:rFonts w:ascii="黑体" w:eastAsia="黑体" w:hAnsi="黑体" w:hint="eastAsia"/>
                <w:sz w:val="24"/>
                <w:szCs w:val="24"/>
              </w:rPr>
              <w:t>10万</w:t>
            </w:r>
          </w:p>
        </w:tc>
        <w:tc>
          <w:tcPr>
            <w:tcW w:w="3528" w:type="dxa"/>
            <w:vAlign w:val="center"/>
          </w:tcPr>
          <w:p w:rsidR="00C92E0B" w:rsidRPr="00761775" w:rsidRDefault="00C92E0B" w:rsidP="004B061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61775">
              <w:rPr>
                <w:rFonts w:ascii="黑体" w:eastAsia="黑体" w:hAnsi="黑体" w:hint="eastAsia"/>
                <w:sz w:val="24"/>
                <w:szCs w:val="24"/>
              </w:rPr>
              <w:t>2%</w:t>
            </w:r>
          </w:p>
        </w:tc>
      </w:tr>
      <w:tr w:rsidR="00C92E0B" w:rsidRPr="00761775" w:rsidTr="004B0618">
        <w:trPr>
          <w:trHeight w:val="332"/>
        </w:trPr>
        <w:tc>
          <w:tcPr>
            <w:tcW w:w="3526" w:type="dxa"/>
            <w:vAlign w:val="center"/>
          </w:tcPr>
          <w:p w:rsidR="00C92E0B" w:rsidRPr="00761775" w:rsidRDefault="00C92E0B" w:rsidP="004B061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61775"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3526" w:type="dxa"/>
            <w:vAlign w:val="center"/>
          </w:tcPr>
          <w:p w:rsidR="00C92E0B" w:rsidRPr="00761775" w:rsidRDefault="00C92E0B" w:rsidP="004B061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61775">
              <w:rPr>
                <w:rFonts w:ascii="黑体" w:eastAsia="黑体" w:hAnsi="黑体" w:hint="eastAsia"/>
                <w:sz w:val="24"/>
                <w:szCs w:val="24"/>
              </w:rPr>
              <w:t>5万</w:t>
            </w:r>
          </w:p>
        </w:tc>
        <w:tc>
          <w:tcPr>
            <w:tcW w:w="3528" w:type="dxa"/>
            <w:vAlign w:val="center"/>
          </w:tcPr>
          <w:p w:rsidR="00C92E0B" w:rsidRPr="00761775" w:rsidRDefault="00C92E0B" w:rsidP="004B061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61775">
              <w:rPr>
                <w:rFonts w:ascii="黑体" w:eastAsia="黑体" w:hAnsi="黑体" w:hint="eastAsia"/>
                <w:sz w:val="24"/>
                <w:szCs w:val="24"/>
              </w:rPr>
              <w:t>3%</w:t>
            </w:r>
          </w:p>
        </w:tc>
      </w:tr>
    </w:tbl>
    <w:p w:rsidR="00C92E0B" w:rsidRPr="00761775" w:rsidRDefault="00C92E0B" w:rsidP="00C92E0B">
      <w:pPr>
        <w:rPr>
          <w:rFonts w:ascii="黑体" w:eastAsia="黑体" w:hAnsi="黑体" w:hint="eastAsia"/>
          <w:sz w:val="24"/>
          <w:szCs w:val="24"/>
          <w:u w:val="single"/>
        </w:rPr>
      </w:pPr>
    </w:p>
    <w:p w:rsidR="00C92E0B" w:rsidRDefault="00C92E0B" w:rsidP="00C92E0B">
      <w:pPr>
        <w:rPr>
          <w:rFonts w:ascii="黑体" w:eastAsia="黑体" w:hAnsi="黑体" w:hint="eastAsia"/>
          <w:color w:val="FF0000"/>
          <w:sz w:val="24"/>
          <w:szCs w:val="24"/>
          <w:u w:val="single"/>
        </w:rPr>
      </w:pPr>
      <w:r w:rsidRPr="00761775">
        <w:rPr>
          <w:rFonts w:ascii="黑体" w:eastAsia="黑体" w:hAnsi="黑体" w:hint="eastAsia"/>
          <w:color w:val="FF0000"/>
          <w:sz w:val="24"/>
          <w:szCs w:val="24"/>
          <w:u w:val="single"/>
        </w:rPr>
        <w:t>例：供应商X在黑石平台出售一件吊牌价1000元的商品，提供给黑石平台的折扣为50%，所以供货价为500元，代理商A为第4级客户，进货价</w:t>
      </w:r>
      <w:r w:rsidR="003A15EA">
        <w:rPr>
          <w:rFonts w:ascii="黑体" w:eastAsia="黑体" w:hAnsi="黑体" w:hint="eastAsia"/>
          <w:color w:val="FF0000"/>
          <w:sz w:val="24"/>
          <w:szCs w:val="24"/>
          <w:u w:val="single"/>
        </w:rPr>
        <w:t>即</w:t>
      </w:r>
      <w:r w:rsidRPr="00761775">
        <w:rPr>
          <w:rFonts w:ascii="黑体" w:eastAsia="黑体" w:hAnsi="黑体" w:hint="eastAsia"/>
          <w:color w:val="FF0000"/>
          <w:sz w:val="24"/>
          <w:szCs w:val="24"/>
          <w:u w:val="single"/>
        </w:rPr>
        <w:t>：500*1%+500=505元</w:t>
      </w:r>
    </w:p>
    <w:p w:rsidR="00C92E0B" w:rsidRPr="00C92E0B" w:rsidRDefault="00C92E0B" w:rsidP="00C92E0B">
      <w:pPr>
        <w:ind w:firstLine="480"/>
        <w:rPr>
          <w:rFonts w:ascii="黑体" w:eastAsia="黑体" w:hAnsi="黑体"/>
          <w:sz w:val="24"/>
          <w:szCs w:val="24"/>
        </w:rPr>
      </w:pPr>
    </w:p>
    <w:sectPr w:rsidR="00C92E0B" w:rsidRPr="00C92E0B" w:rsidSect="003A15EA">
      <w:pgSz w:w="11906" w:h="16838"/>
      <w:pgMar w:top="426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B6A" w:rsidRDefault="00233B6A" w:rsidP="00CE75F6">
      <w:r>
        <w:separator/>
      </w:r>
    </w:p>
  </w:endnote>
  <w:endnote w:type="continuationSeparator" w:id="1">
    <w:p w:rsidR="00233B6A" w:rsidRDefault="00233B6A" w:rsidP="00CE7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B6A" w:rsidRDefault="00233B6A" w:rsidP="00CE75F6">
      <w:r>
        <w:separator/>
      </w:r>
    </w:p>
  </w:footnote>
  <w:footnote w:type="continuationSeparator" w:id="1">
    <w:p w:rsidR="00233B6A" w:rsidRDefault="00233B6A" w:rsidP="00CE75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D6EE4"/>
    <w:multiLevelType w:val="hybridMultilevel"/>
    <w:tmpl w:val="566E185E"/>
    <w:lvl w:ilvl="0" w:tplc="804EBD00">
      <w:start w:val="1"/>
      <w:numFmt w:val="decimal"/>
      <w:lvlText w:val="%1．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2D820950"/>
    <w:multiLevelType w:val="hybridMultilevel"/>
    <w:tmpl w:val="D0EC927C"/>
    <w:lvl w:ilvl="0" w:tplc="69BCEEA4">
      <w:start w:val="1"/>
      <w:numFmt w:val="decimal"/>
      <w:lvlText w:val="%1."/>
      <w:lvlJc w:val="left"/>
      <w:pPr>
        <w:ind w:left="83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5F6"/>
    <w:rsid w:val="00013447"/>
    <w:rsid w:val="0005444C"/>
    <w:rsid w:val="00074232"/>
    <w:rsid w:val="000A0EF3"/>
    <w:rsid w:val="000B660A"/>
    <w:rsid w:val="001F71F0"/>
    <w:rsid w:val="00233B6A"/>
    <w:rsid w:val="00272440"/>
    <w:rsid w:val="0032643E"/>
    <w:rsid w:val="00342BFE"/>
    <w:rsid w:val="003A15EA"/>
    <w:rsid w:val="003C433B"/>
    <w:rsid w:val="00416409"/>
    <w:rsid w:val="004F0C36"/>
    <w:rsid w:val="004F4AB3"/>
    <w:rsid w:val="00517A3C"/>
    <w:rsid w:val="00570096"/>
    <w:rsid w:val="00625003"/>
    <w:rsid w:val="00731512"/>
    <w:rsid w:val="00761775"/>
    <w:rsid w:val="00771C7F"/>
    <w:rsid w:val="007A0461"/>
    <w:rsid w:val="007B223A"/>
    <w:rsid w:val="007F6C3D"/>
    <w:rsid w:val="00986087"/>
    <w:rsid w:val="009D04A3"/>
    <w:rsid w:val="00A34B9A"/>
    <w:rsid w:val="00AD4F76"/>
    <w:rsid w:val="00AD7E55"/>
    <w:rsid w:val="00B62EC9"/>
    <w:rsid w:val="00C92E0B"/>
    <w:rsid w:val="00CE75F6"/>
    <w:rsid w:val="00DC43AC"/>
    <w:rsid w:val="00DE7AD0"/>
    <w:rsid w:val="00E74AE9"/>
    <w:rsid w:val="00E85E4D"/>
    <w:rsid w:val="00FA4CEE"/>
    <w:rsid w:val="00FC4C29"/>
    <w:rsid w:val="00FD0154"/>
    <w:rsid w:val="00FE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E75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E75F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7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75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7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75F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E75F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E75F6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771C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D4F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7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6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7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8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2017-11-24T06:20:00Z</dcterms:created>
  <dcterms:modified xsi:type="dcterms:W3CDTF">2017-11-24T11:58:00Z</dcterms:modified>
</cp:coreProperties>
</file>